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51F8F" w14:textId="3FC9F5CE" w:rsidR="005E31C5" w:rsidRPr="00792328" w:rsidRDefault="00BE395B" w:rsidP="00BE395B">
      <w:pPr>
        <w:jc w:val="right"/>
        <w:rPr>
          <w:rFonts w:ascii="Times New Roman" w:hAnsi="Times New Roman" w:cs="Times New Roman"/>
          <w:b w:val="0"/>
          <w:bCs w:val="0"/>
        </w:rPr>
      </w:pPr>
      <w:r w:rsidRPr="00BE395B">
        <w:rPr>
          <w:rFonts w:ascii="Times New Roman" w:hAnsi="Times New Roman" w:cs="Times New Roman"/>
        </w:rPr>
        <w:t>Załącznik nr 2 do SWZ</w:t>
      </w:r>
      <w:r>
        <w:rPr>
          <w:rFonts w:ascii="Times New Roman" w:hAnsi="Times New Roman" w:cs="Times New Roman"/>
          <w:b w:val="0"/>
          <w:bCs w:val="0"/>
        </w:rPr>
        <w:t xml:space="preserve"> – Opis przedmiotu zamówienia</w:t>
      </w:r>
    </w:p>
    <w:p w14:paraId="059FE6BC" w14:textId="41E7B195" w:rsidR="00F779B0" w:rsidRDefault="00F779B0" w:rsidP="00792328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7094817C" w14:textId="0C386285" w:rsidR="00BE395B" w:rsidRDefault="00BE395B" w:rsidP="00792328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6A282E27" w14:textId="77777777" w:rsidR="00BE395B" w:rsidRDefault="00BE395B" w:rsidP="00792328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14D88000" w14:textId="54034E3A" w:rsidR="005E31C5" w:rsidRPr="00792328" w:rsidRDefault="00AB5EA2" w:rsidP="0079232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AB5EA2">
        <w:rPr>
          <w:rFonts w:ascii="Times New Roman" w:hAnsi="Times New Roman" w:cs="Times New Roman"/>
          <w:caps/>
          <w:kern w:val="24"/>
        </w:rPr>
        <w:t>Zestaw pomp infuzyjnych ze stacją dokującą</w:t>
      </w:r>
    </w:p>
    <w:tbl>
      <w:tblPr>
        <w:tblStyle w:val="TableNormal"/>
        <w:tblpPr w:leftFromText="141" w:rightFromText="141" w:vertAnchor="text" w:horzAnchor="margin" w:tblpX="279" w:tblpY="492"/>
        <w:tblW w:w="96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04"/>
        <w:gridCol w:w="8930"/>
      </w:tblGrid>
      <w:tr w:rsidR="00A107B8" w:rsidRPr="00797D46" w14:paraId="6E35004E" w14:textId="77777777" w:rsidTr="001E0ED6">
        <w:trPr>
          <w:trHeight w:val="619"/>
          <w:tblHeader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53AFF" w14:textId="4A34406A" w:rsidR="00A107B8" w:rsidRPr="00A107B8" w:rsidRDefault="00F9274F" w:rsidP="00D72672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POMPA STRZYKAWKOWA – 20 SZT.</w:t>
            </w:r>
          </w:p>
        </w:tc>
      </w:tr>
      <w:tr w:rsidR="00BE395B" w:rsidRPr="00797D46" w14:paraId="4F98C7DD" w14:textId="77777777" w:rsidTr="00BE395B">
        <w:trPr>
          <w:trHeight w:val="619"/>
          <w:tblHeader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41BA" w14:textId="77777777" w:rsidR="00BE395B" w:rsidRPr="00792328" w:rsidRDefault="00BE395B" w:rsidP="00F779B0">
            <w:pPr>
              <w:rPr>
                <w:rFonts w:ascii="Times New Roman" w:hAnsi="Times New Roman" w:cs="Times New Roman"/>
              </w:rPr>
            </w:pPr>
            <w:r w:rsidRPr="00AB5EA2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46B3D" w14:textId="77777777" w:rsidR="00BE395B" w:rsidRPr="00797D46" w:rsidRDefault="00BE395B" w:rsidP="00F779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7D46">
              <w:rPr>
                <w:rFonts w:ascii="Times New Roman" w:hAnsi="Times New Roman" w:cs="Times New Roman"/>
                <w:sz w:val="22"/>
                <w:szCs w:val="22"/>
              </w:rPr>
              <w:t>Parametry wymagane</w:t>
            </w:r>
          </w:p>
        </w:tc>
      </w:tr>
    </w:tbl>
    <w:p w14:paraId="096B1739" w14:textId="77777777" w:rsidR="005E31C5" w:rsidRPr="00792328" w:rsidRDefault="005E31C5">
      <w:pPr>
        <w:rPr>
          <w:rFonts w:ascii="Times New Roman" w:eastAsia="Times New Roman" w:hAnsi="Times New Roman" w:cs="Times New Roman"/>
          <w:b w:val="0"/>
          <w:bCs w:val="0"/>
        </w:rPr>
      </w:pPr>
    </w:p>
    <w:tbl>
      <w:tblPr>
        <w:tblStyle w:val="TableNormal"/>
        <w:tblW w:w="9639" w:type="dxa"/>
        <w:tblInd w:w="27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8930"/>
      </w:tblGrid>
      <w:tr w:rsidR="00BE395B" w:rsidRPr="00792328" w14:paraId="25789D4F" w14:textId="77777777" w:rsidTr="00BE395B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83B8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003C" w14:textId="44A0DC52" w:rsidR="00BE395B" w:rsidRPr="00792328" w:rsidRDefault="00BE395B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Stosowanie strzykawek </w:t>
            </w: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, 5, 6, 10, 12, 20, 30, 35, 50 ml. </w:t>
            </w:r>
          </w:p>
        </w:tc>
      </w:tr>
      <w:tr w:rsidR="00BE395B" w:rsidRPr="00792328" w14:paraId="4A9A9337" w14:textId="2F816F6C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0BC17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C9199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Strzykawki montowane od czoła.</w:t>
            </w:r>
          </w:p>
        </w:tc>
      </w:tr>
      <w:tr w:rsidR="00BE395B" w:rsidRPr="00792328" w14:paraId="233B78D4" w14:textId="6C748563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E8FE8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37279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Ramię pompy niewychodzące poza gabaryt obudowy.</w:t>
            </w:r>
          </w:p>
        </w:tc>
      </w:tr>
      <w:tr w:rsidR="00BE395B" w:rsidRPr="00792328" w14:paraId="18FF95FB" w14:textId="7DE976A4" w:rsidTr="00BE395B">
        <w:trPr>
          <w:trHeight w:val="4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3402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0625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 xml:space="preserve">Klawiatura symboliczna i alfanumeryczna umożliwiająca szybkie i intuicyjne programowanie infuzji oraz obsługę pompy-nie dopuszcza się klawiatury wyświetlanej na ekranie pompy. </w:t>
            </w:r>
          </w:p>
        </w:tc>
      </w:tr>
      <w:tr w:rsidR="00BE395B" w:rsidRPr="00792328" w14:paraId="394EA34F" w14:textId="4E50F481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97E2D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A3C77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Wysokość pompy 11,5cm </w:t>
            </w:r>
          </w:p>
        </w:tc>
      </w:tr>
      <w:tr w:rsidR="00BE395B" w:rsidRPr="00792328" w14:paraId="77C5EFD6" w14:textId="09B0C86B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CDC4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1974B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Szybkość dozowania w zakresie 0,01-2000 ml/h</w:t>
            </w:r>
          </w:p>
        </w:tc>
      </w:tr>
      <w:tr w:rsidR="00BE395B" w:rsidRPr="00792328" w14:paraId="078F4E8F" w14:textId="11D02606" w:rsidTr="00BE395B">
        <w:trPr>
          <w:trHeight w:val="3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ECB8A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3756E" w14:textId="77777777" w:rsidR="00BE395B" w:rsidRPr="00792328" w:rsidRDefault="00BE395B">
            <w:pPr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Programowanie parametrów infuzji w jednostkach:</w:t>
            </w:r>
          </w:p>
          <w:p w14:paraId="7F5CC005" w14:textId="77777777" w:rsidR="00BE395B" w:rsidRPr="00792328" w:rsidRDefault="00BE395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ml, L,</w:t>
            </w:r>
          </w:p>
          <w:p w14:paraId="243F6F76" w14:textId="77777777" w:rsidR="00BE395B" w:rsidRPr="00792328" w:rsidRDefault="00BE395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ng, μg, mg, g,</w:t>
            </w:r>
          </w:p>
          <w:p w14:paraId="30A3CE38" w14:textId="77777777" w:rsidR="00BE395B" w:rsidRPr="00792328" w:rsidRDefault="00BE395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μEq, mEq, Eq,</w:t>
            </w:r>
          </w:p>
          <w:p w14:paraId="172B17B5" w14:textId="77777777" w:rsidR="00BE395B" w:rsidRPr="00792328" w:rsidRDefault="00BE395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mlU, IU, kIU,</w:t>
            </w:r>
          </w:p>
          <w:p w14:paraId="6B393AAA" w14:textId="77777777" w:rsidR="00BE395B" w:rsidRPr="00792328" w:rsidRDefault="00BE395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mIE, IE, kIE,</w:t>
            </w:r>
          </w:p>
          <w:p w14:paraId="0D8C89A4" w14:textId="77777777" w:rsidR="00BE395B" w:rsidRPr="00792328" w:rsidRDefault="00BE395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cal, kcal,</w:t>
            </w:r>
          </w:p>
          <w:p w14:paraId="6389120C" w14:textId="77777777" w:rsidR="00BE395B" w:rsidRPr="00792328" w:rsidRDefault="00BE395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J, kJ,</w:t>
            </w:r>
          </w:p>
          <w:p w14:paraId="1C863C6A" w14:textId="77777777" w:rsidR="00BE395B" w:rsidRPr="00792328" w:rsidRDefault="00BE395B">
            <w:pPr>
              <w:numPr>
                <w:ilvl w:val="0"/>
                <w:numId w:val="2"/>
              </w:numPr>
              <w:spacing w:after="6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mmol, mol, </w:t>
            </w:r>
          </w:p>
          <w:p w14:paraId="64C8711E" w14:textId="77777777" w:rsidR="00BE395B" w:rsidRPr="00792328" w:rsidRDefault="00BE395B">
            <w:pPr>
              <w:ind w:left="99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 uwzględnieniem wagi pacjenta lub nie,</w:t>
            </w:r>
          </w:p>
          <w:p w14:paraId="78A87817" w14:textId="77777777" w:rsidR="00BE395B" w:rsidRPr="00792328" w:rsidRDefault="00BE395B">
            <w:pPr>
              <w:ind w:left="99"/>
              <w:rPr>
                <w:rFonts w:ascii="Times New Roman" w:eastAsia="Calibri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z uwzględnieniem powierzchni pacjenta lub nie, </w:t>
            </w:r>
          </w:p>
          <w:p w14:paraId="721415A5" w14:textId="77777777" w:rsidR="00BE395B" w:rsidRPr="00792328" w:rsidRDefault="00BE395B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na min, godz., dobę.</w:t>
            </w:r>
          </w:p>
        </w:tc>
      </w:tr>
      <w:tr w:rsidR="00BE395B" w:rsidRPr="00792328" w14:paraId="1ADFB327" w14:textId="74B5FBCE" w:rsidTr="00BE395B">
        <w:trPr>
          <w:trHeight w:val="2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81EB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5D029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Zabezpieczenie przed gwałtowną zmianą szybkości w trakcie trwania infuzji (miareczkowanie).</w:t>
            </w:r>
          </w:p>
        </w:tc>
      </w:tr>
      <w:tr w:rsidR="00BE395B" w:rsidRPr="00792328" w14:paraId="037BFF8F" w14:textId="3F776550" w:rsidTr="00BE395B">
        <w:trPr>
          <w:trHeight w:val="1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9532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05136" w14:textId="77777777" w:rsidR="00BE395B" w:rsidRPr="00792328" w:rsidRDefault="00BE395B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Tryby dozowania:</w:t>
            </w:r>
          </w:p>
          <w:p w14:paraId="2A2891B5" w14:textId="77777777" w:rsidR="00BE395B" w:rsidRPr="00792328" w:rsidRDefault="00BE395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Infuzja ciągła,</w:t>
            </w:r>
          </w:p>
          <w:p w14:paraId="716AA7CA" w14:textId="77777777" w:rsidR="00BE395B" w:rsidRPr="00792328" w:rsidRDefault="00BE395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Infuzja bolusowa (z przerwą),</w:t>
            </w:r>
          </w:p>
          <w:p w14:paraId="23B3E4D3" w14:textId="77777777" w:rsidR="00BE395B" w:rsidRPr="00792328" w:rsidRDefault="00BE395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bCs w:val="0"/>
                <w:kern w:val="2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Infuzja profilowa (min. 16 kroków infuzji),</w:t>
            </w:r>
          </w:p>
          <w:p w14:paraId="475E309E" w14:textId="77777777" w:rsidR="00BE395B" w:rsidRPr="00792328" w:rsidRDefault="00BE395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Infuzja TPN (narastanie / utrzymanie / opadanie).</w:t>
            </w:r>
          </w:p>
        </w:tc>
      </w:tr>
      <w:tr w:rsidR="00BE395B" w:rsidRPr="00792328" w14:paraId="521E7E4C" w14:textId="7520BEED" w:rsidTr="00BE395B">
        <w:trPr>
          <w:trHeight w:val="2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C27A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9EA3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Dokładność infuzji ± 2%</w:t>
            </w:r>
          </w:p>
        </w:tc>
      </w:tr>
      <w:tr w:rsidR="00BE395B" w:rsidRPr="00792328" w14:paraId="0D5FC73E" w14:textId="154B5223" w:rsidTr="00BE395B">
        <w:trPr>
          <w:trHeight w:val="6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01474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DA718" w14:textId="77777777" w:rsidR="00BE395B" w:rsidRPr="00792328" w:rsidRDefault="00BE395B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Programowanie parametrów podaży Bolus-a i dawki indukcyjnej:</w:t>
            </w:r>
          </w:p>
          <w:p w14:paraId="28800E6D" w14:textId="77777777" w:rsidR="00BE395B" w:rsidRPr="00792328" w:rsidRDefault="00BE395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objętość / dawka</w:t>
            </w:r>
          </w:p>
          <w:p w14:paraId="53B622BE" w14:textId="77777777" w:rsidR="00BE395B" w:rsidRPr="00792328" w:rsidRDefault="00BE395B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czas lub szybkość podaży</w:t>
            </w:r>
          </w:p>
        </w:tc>
      </w:tr>
      <w:tr w:rsidR="00BE395B" w:rsidRPr="00792328" w14:paraId="372D8B4B" w14:textId="1EA7F927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3E70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08E8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Automatyczna zmniejszenie szybkości podaży bolusa, w celu uniknięcia przerwania infuzji na skutek alarmu okluzji.</w:t>
            </w:r>
          </w:p>
        </w:tc>
      </w:tr>
      <w:tr w:rsidR="00BE395B" w:rsidRPr="00792328" w14:paraId="1B2B493A" w14:textId="0FE4CCF7" w:rsidTr="00BE395B">
        <w:trPr>
          <w:trHeight w:val="30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7C02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48AC" w14:textId="77777777" w:rsidR="00BE395B" w:rsidRPr="00792328" w:rsidRDefault="00BE395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Możliwość wgrania do pompy biblioteki leków złożonej z procedur dozowania zawierających co najmniej:</w:t>
            </w:r>
          </w:p>
          <w:p w14:paraId="5DF7B032" w14:textId="77777777" w:rsidR="00BE395B" w:rsidRPr="00792328" w:rsidRDefault="00BE395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nazwy leku,</w:t>
            </w:r>
          </w:p>
          <w:p w14:paraId="022F5379" w14:textId="77777777" w:rsidR="00BE395B" w:rsidRPr="00792328" w:rsidRDefault="00BE395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10 koncentracji leku,</w:t>
            </w:r>
          </w:p>
          <w:p w14:paraId="6CA1EC3F" w14:textId="77777777" w:rsidR="00BE395B" w:rsidRPr="00792328" w:rsidRDefault="00BE395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szybkości dozowania (dawkowanie),</w:t>
            </w:r>
          </w:p>
          <w:p w14:paraId="1AF11BEF" w14:textId="77777777" w:rsidR="00BE395B" w:rsidRPr="00792328" w:rsidRDefault="00BE395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całkowitej objętości (dawki) infuzji,</w:t>
            </w:r>
          </w:p>
          <w:p w14:paraId="2EC971B9" w14:textId="77777777" w:rsidR="00BE395B" w:rsidRPr="00792328" w:rsidRDefault="00BE395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parametrów bolusa, oraz dawki indukcyjnej,</w:t>
            </w:r>
          </w:p>
          <w:p w14:paraId="011C8E24" w14:textId="77777777" w:rsidR="00BE395B" w:rsidRPr="00792328" w:rsidRDefault="00BE395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limitów dla wymienionych parametrów infuzji:</w:t>
            </w:r>
          </w:p>
          <w:p w14:paraId="3F85BCF1" w14:textId="77777777" w:rsidR="00BE395B" w:rsidRPr="00792328" w:rsidRDefault="00BE395B" w:rsidP="00AB5EA2">
            <w:pPr>
              <w:numPr>
                <w:ilvl w:val="1"/>
                <w:numId w:val="5"/>
              </w:numPr>
              <w:ind w:left="622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 xml:space="preserve">miękkich, ostrzegających o przekroczeniu zalecanych wartości parametrów, </w:t>
            </w:r>
          </w:p>
          <w:p w14:paraId="08AE366F" w14:textId="77777777" w:rsidR="00BE395B" w:rsidRPr="00792328" w:rsidRDefault="00BE395B" w:rsidP="00AB5EA2">
            <w:pPr>
              <w:numPr>
                <w:ilvl w:val="1"/>
                <w:numId w:val="5"/>
              </w:numPr>
              <w:ind w:left="622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twardych – blokujących możliwość wprowadzenia wartości spoza ich zakresu.</w:t>
            </w:r>
          </w:p>
          <w:p w14:paraId="1E6AE6D7" w14:textId="77777777" w:rsidR="00BE395B" w:rsidRPr="00792328" w:rsidRDefault="00BE395B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Notatki doradczej możliwej do odczytania przed rozpoczęciem infuzji.</w:t>
            </w:r>
          </w:p>
          <w:p w14:paraId="06268786" w14:textId="77777777" w:rsidR="00BE395B" w:rsidRPr="00792328" w:rsidRDefault="00BE395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Podział biblioteki na osobne grupy dedykowane poszczególnym oddziałom szpitalnym, do 40 oddziałów. Wybór oddziału dostępny w pompie.</w:t>
            </w:r>
          </w:p>
          <w:p w14:paraId="0F29C2C0" w14:textId="77777777" w:rsidR="00BE395B" w:rsidRPr="00792328" w:rsidRDefault="00BE395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Podział biblioteki dedykowanej oddziałom na 40 kategorii lekowych.</w:t>
            </w:r>
          </w:p>
          <w:p w14:paraId="5020F386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Pojemność biblioteki 4000 procedur dozowania leków.</w:t>
            </w:r>
          </w:p>
        </w:tc>
      </w:tr>
      <w:tr w:rsidR="00BE395B" w:rsidRPr="00792328" w14:paraId="5BDA9486" w14:textId="799966E0" w:rsidTr="00BE395B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FEF9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68C8B" w14:textId="77777777" w:rsidR="00BE395B" w:rsidRPr="00792328" w:rsidRDefault="00BE395B">
            <w:pPr>
              <w:tabs>
                <w:tab w:val="left" w:pos="36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Dostępność polskojęzycznego oprogramowania komputerowego do tworzenia i przesyłania do pompy biblioteki leków.</w:t>
            </w:r>
          </w:p>
        </w:tc>
      </w:tr>
      <w:tr w:rsidR="00BE395B" w:rsidRPr="00792328" w14:paraId="395037DC" w14:textId="379DAA96" w:rsidTr="00BE395B">
        <w:trPr>
          <w:trHeight w:val="30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0C553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EE987" w14:textId="77777777" w:rsidR="00BE395B" w:rsidRPr="00792328" w:rsidRDefault="00BE395B">
            <w:pPr>
              <w:rPr>
                <w:rFonts w:ascii="Times New Roman" w:eastAsia="Calibri" w:hAnsi="Times New Roman" w:cs="Times New Roman"/>
                <w:b w:val="0"/>
                <w:bCs w:val="0"/>
                <w:kern w:val="2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Ekran infuzji umożliwiający wyświetlenie następujących informacji jednocześnie:</w:t>
            </w:r>
          </w:p>
          <w:p w14:paraId="2AF1BAEF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nazwa leku,</w:t>
            </w:r>
          </w:p>
          <w:p w14:paraId="169D22F7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koncentracja leku,</w:t>
            </w:r>
          </w:p>
          <w:p w14:paraId="255323CA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szybkość infuzji,</w:t>
            </w:r>
          </w:p>
          <w:p w14:paraId="0190CFDB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informacji, że wartość szybkości infuzji mieści się w zalecanym zakresie lub znajduje się w zakresie limitu miękkiego dolnego lub górnego,</w:t>
            </w:r>
          </w:p>
          <w:p w14:paraId="2B82C560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podana dawka,</w:t>
            </w:r>
          </w:p>
          <w:p w14:paraId="52DAABEC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poziom limitów dla szybkości infuzji,</w:t>
            </w:r>
          </w:p>
          <w:p w14:paraId="2A025CFB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czas do końca dawki lub czas do końca strzykawki w formie graficznej,</w:t>
            </w:r>
          </w:p>
          <w:p w14:paraId="37B5DC0E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kategorii leku wyodrębnionej kolorem,</w:t>
            </w:r>
          </w:p>
          <w:p w14:paraId="56C7DAE1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stan naładowania akumulatora,</w:t>
            </w:r>
          </w:p>
          <w:p w14:paraId="4C24C2C1" w14:textId="77777777" w:rsidR="00BE395B" w:rsidRPr="00792328" w:rsidRDefault="00BE395B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aktualne ciśnienie w linii pacjenta w formie graficznej.</w:t>
            </w:r>
          </w:p>
        </w:tc>
      </w:tr>
      <w:tr w:rsidR="00BE395B" w:rsidRPr="00792328" w14:paraId="689F4577" w14:textId="1B4C3CB8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BD347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3B44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Ekran dotykowy, przyspieszający wybór funkcji pompy.</w:t>
            </w:r>
          </w:p>
        </w:tc>
      </w:tr>
      <w:tr w:rsidR="00BE395B" w:rsidRPr="00792328" w14:paraId="35A27665" w14:textId="70A9E9E9" w:rsidTr="00BE395B">
        <w:trPr>
          <w:trHeight w:val="2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D50D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2000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Kolorystyczne wyróżnienie ekranu infuzji do żywienia dojelitowego względem innych realizowanych infuzji.</w:t>
            </w:r>
          </w:p>
        </w:tc>
      </w:tr>
      <w:tr w:rsidR="00BE395B" w:rsidRPr="00792328" w14:paraId="3A082B79" w14:textId="565C628A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4C4BA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BEAB7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Napisy na wyświetlaczu w języku polskim.</w:t>
            </w:r>
          </w:p>
        </w:tc>
      </w:tr>
      <w:tr w:rsidR="00BE395B" w:rsidRPr="00792328" w14:paraId="6EA81722" w14:textId="13D9A1C6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89540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9F5A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Regulowane progi ciśnienia okluzji, 12 poziomów.</w:t>
            </w:r>
          </w:p>
        </w:tc>
      </w:tr>
      <w:tr w:rsidR="00BE395B" w:rsidRPr="00792328" w14:paraId="61CF7C87" w14:textId="27CF8B7E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C7294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8217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Progi ciśnienia regulowane w zakresie 75-900 mmHg.</w:t>
            </w:r>
          </w:p>
        </w:tc>
      </w:tr>
      <w:tr w:rsidR="00BE395B" w:rsidRPr="00792328" w14:paraId="29D3806C" w14:textId="5AD29849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2E84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783C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Zmiana progu ciśnienia okluzji bez przerywania infuzji.</w:t>
            </w:r>
          </w:p>
        </w:tc>
      </w:tr>
      <w:tr w:rsidR="00BE395B" w:rsidRPr="00792328" w14:paraId="60A4EF34" w14:textId="2DD62361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74EB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325D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Automatyczna redukcja bolusa okluzyjnego.</w:t>
            </w:r>
          </w:p>
        </w:tc>
      </w:tr>
      <w:tr w:rsidR="00BE395B" w:rsidRPr="00792328" w14:paraId="220481C4" w14:textId="327D132D" w:rsidTr="00BE395B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7A6E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8DF2" w14:textId="77777777" w:rsidR="00BE395B" w:rsidRPr="00792328" w:rsidRDefault="00BE395B">
            <w:pPr>
              <w:tabs>
                <w:tab w:val="left" w:pos="142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Priorytetowy system alarmów, zapewniający zróżnicowany sygnał dźwiękowy i świetlny, zależnie od stopnia zagrożenia.</w:t>
            </w:r>
          </w:p>
        </w:tc>
      </w:tr>
      <w:tr w:rsidR="00BE395B" w:rsidRPr="00792328" w14:paraId="199D2E73" w14:textId="0250825D" w:rsidTr="00BE395B">
        <w:trPr>
          <w:trHeight w:val="3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2F1A1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C7486" w14:textId="77777777" w:rsidR="00BE395B" w:rsidRPr="00792328" w:rsidRDefault="00BE395B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Możliwość instalacji pompy w stacji dokującej:</w:t>
            </w:r>
          </w:p>
          <w:p w14:paraId="447EF3A6" w14:textId="77777777" w:rsidR="00BE395B" w:rsidRPr="00792328" w:rsidRDefault="00BE395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Zatrzaskowe mocowanie z automatyczną blokadą, bez konieczności przykręcania.</w:t>
            </w:r>
          </w:p>
          <w:p w14:paraId="5555FF45" w14:textId="77777777" w:rsidR="00BE395B" w:rsidRPr="00792328" w:rsidRDefault="00BE395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Alarm nieprawidłowego mocowania pomp w stacji,</w:t>
            </w:r>
          </w:p>
          <w:p w14:paraId="5F2EEBBB" w14:textId="77777777" w:rsidR="00BE395B" w:rsidRPr="00792328" w:rsidRDefault="00BE395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Pompy mocowane niezależnie, jedna nad drugą, </w:t>
            </w:r>
          </w:p>
          <w:p w14:paraId="261653D4" w14:textId="77777777" w:rsidR="00BE395B" w:rsidRPr="00792328" w:rsidRDefault="00BE395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Automatyczne przyłączenie zasilania ze stacji dokującej,</w:t>
            </w:r>
          </w:p>
          <w:p w14:paraId="419ABF43" w14:textId="77777777" w:rsidR="00BE395B" w:rsidRPr="00792328" w:rsidRDefault="00BE395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Automatyczne przyłączenie portu komunikacyjnego ze stacji dokującej,</w:t>
            </w:r>
          </w:p>
          <w:p w14:paraId="68A83F9C" w14:textId="77777777" w:rsidR="00BE395B" w:rsidRPr="00792328" w:rsidRDefault="00BE395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Świetlna sygnalizacja stanu pomp: infuzja, alarm, STOP.</w:t>
            </w:r>
          </w:p>
        </w:tc>
      </w:tr>
      <w:tr w:rsidR="00BE395B" w:rsidRPr="00792328" w14:paraId="75A4F4FB" w14:textId="266B4D6C" w:rsidTr="00BE395B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9F09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0EB05" w14:textId="77777777" w:rsidR="00BE395B" w:rsidRPr="00792328" w:rsidRDefault="00BE395B">
            <w:pPr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Mocowanie pojedynczej pompy do statywów lub pionowych kolumn niewymagające dołączenia jakichkolwiek części, w szczególności uchwytu mocującego, po bezpośrednim wyjęciu pompy z stacji dokującej.</w:t>
            </w:r>
          </w:p>
        </w:tc>
      </w:tr>
      <w:tr w:rsidR="00BE395B" w:rsidRPr="00792328" w14:paraId="3588DCD1" w14:textId="16920107" w:rsidTr="00BE395B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73D0A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8C37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Mocowanie pomp w stacji dokującej niewymagające odłączenia jakichkolwiek części, w szczególności uchwytu mocującego, po bezpośrednim zdjęciu pompy ze statywu.</w:t>
            </w:r>
          </w:p>
        </w:tc>
      </w:tr>
      <w:tr w:rsidR="00BE395B" w:rsidRPr="00792328" w14:paraId="39E7E074" w14:textId="3F83F11B" w:rsidTr="00BE395B">
        <w:trPr>
          <w:trHeight w:val="4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C18AA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0A53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Uchwyt do przenoszenia pompy na stałe związany z pompą, niewymagający odłączania przy mocowaniu pomp w stacjach dokujących.</w:t>
            </w:r>
          </w:p>
        </w:tc>
      </w:tr>
      <w:tr w:rsidR="00BE395B" w:rsidRPr="00792328" w14:paraId="16850857" w14:textId="0698B554" w:rsidTr="00BE395B">
        <w:trPr>
          <w:trHeight w:val="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A94DD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AA24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Możliwość komunikacji pomp umieszczonych w stacjach dokujących </w:t>
            </w:r>
            <w:r w:rsidRPr="00792328">
              <w:rPr>
                <w:rFonts w:ascii="Times New Roman" w:hAnsi="Times New Roman" w:cs="Times New Roman"/>
                <w:b w:val="0"/>
                <w:bCs w:val="0"/>
                <w:kern w:val="20"/>
                <w:sz w:val="22"/>
                <w:szCs w:val="22"/>
              </w:rPr>
              <w:t>wyposażonych w interface LAN z oprogramowaniem zewnętrznym.</w:t>
            </w:r>
          </w:p>
        </w:tc>
      </w:tr>
      <w:tr w:rsidR="00BE395B" w:rsidRPr="00792328" w14:paraId="3BB1DC44" w14:textId="2AFEC11A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9C3E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FB790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Historia infuzji – możliwość zapamiętania 2000 zdarzeń oznaczonych datą i godziną zdarzenia.</w:t>
            </w:r>
          </w:p>
        </w:tc>
      </w:tr>
      <w:tr w:rsidR="00BE395B" w:rsidRPr="00792328" w14:paraId="46AC5E7C" w14:textId="3FE1C706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E516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424D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Klasa ochrony II, typ CF, odporność na defibrylację, ochrona obudowy IP22</w:t>
            </w:r>
          </w:p>
        </w:tc>
      </w:tr>
      <w:tr w:rsidR="00BE395B" w:rsidRPr="00792328" w14:paraId="10F4627E" w14:textId="48836A18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A512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7E35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Zasilanie pomp mocowanych poza stacją dokującą bezpośrednio z sieci energetycznej</w:t>
            </w:r>
          </w:p>
        </w:tc>
      </w:tr>
      <w:tr w:rsidR="00BE395B" w:rsidRPr="00792328" w14:paraId="731E6B3E" w14:textId="6CF3528C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27D6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FFB9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sz w:val="22"/>
                <w:szCs w:val="22"/>
              </w:rPr>
              <w:t>Czas pracy z akumulatora do 30 h przy infuzji 5ml/h</w:t>
            </w:r>
          </w:p>
        </w:tc>
      </w:tr>
      <w:tr w:rsidR="00BE395B" w:rsidRPr="00792328" w14:paraId="5FD163A2" w14:textId="5D2AD4F9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2048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669C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Czas ładowania akumulatora do 100% po pełnym rozładowaniu – poniżej 5 h</w:t>
            </w:r>
          </w:p>
        </w:tc>
      </w:tr>
      <w:tr w:rsidR="00BE395B" w:rsidRPr="00792328" w14:paraId="3612D174" w14:textId="6277EB56" w:rsidTr="00BE395B">
        <w:trPr>
          <w:trHeight w:val="2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82C84" w14:textId="77777777" w:rsidR="00BE395B" w:rsidRPr="00AB5EA2" w:rsidRDefault="00BE395B" w:rsidP="00AB5EA2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CF06" w14:textId="77777777" w:rsidR="00BE395B" w:rsidRPr="00792328" w:rsidRDefault="00BE39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Waga do 2,3 kg.</w:t>
            </w:r>
          </w:p>
        </w:tc>
      </w:tr>
      <w:tr w:rsidR="00BE395B" w:rsidRPr="00792328" w14:paraId="0A8FBAA6" w14:textId="19618B7E" w:rsidTr="00BE395B">
        <w:trPr>
          <w:trHeight w:val="548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DB73" w14:textId="44A575E4" w:rsidR="00BE395B" w:rsidRPr="00AB5EA2" w:rsidRDefault="00BE395B" w:rsidP="00AB5EA2">
            <w:pPr>
              <w:jc w:val="center"/>
              <w:rPr>
                <w:rFonts w:ascii="Times New Roman" w:hAnsi="Times New Roman" w:cs="Times New Roman"/>
                <w:caps/>
                <w:kern w:val="24"/>
              </w:rPr>
            </w:pPr>
            <w:r w:rsidRPr="00AB5EA2">
              <w:rPr>
                <w:rFonts w:ascii="Times New Roman" w:hAnsi="Times New Roman" w:cs="Times New Roman"/>
                <w:caps/>
                <w:kern w:val="24"/>
              </w:rPr>
              <w:t>St</w:t>
            </w:r>
            <w:r w:rsidR="00A107B8">
              <w:rPr>
                <w:rFonts w:ascii="Times New Roman" w:hAnsi="Times New Roman" w:cs="Times New Roman"/>
                <w:caps/>
                <w:kern w:val="24"/>
              </w:rPr>
              <w:t>OJAK - STATYW</w:t>
            </w:r>
            <w:r w:rsidRPr="00AB5EA2">
              <w:rPr>
                <w:rFonts w:ascii="Times New Roman" w:hAnsi="Times New Roman" w:cs="Times New Roman"/>
                <w:caps/>
                <w:kern w:val="24"/>
              </w:rPr>
              <w:t xml:space="preserve"> do </w:t>
            </w:r>
            <w:r w:rsidR="00A107B8">
              <w:rPr>
                <w:rFonts w:ascii="Times New Roman" w:hAnsi="Times New Roman" w:cs="Times New Roman"/>
                <w:caps/>
                <w:kern w:val="24"/>
              </w:rPr>
              <w:t>POMP I STACJI</w:t>
            </w:r>
            <w:r w:rsidRPr="00AB5EA2">
              <w:rPr>
                <w:rFonts w:ascii="Times New Roman" w:hAnsi="Times New Roman" w:cs="Times New Roman"/>
                <w:caps/>
                <w:kern w:val="24"/>
              </w:rPr>
              <w:t xml:space="preserve"> dokujących</w:t>
            </w:r>
            <w:r w:rsidR="00A107B8">
              <w:rPr>
                <w:rFonts w:ascii="Times New Roman" w:hAnsi="Times New Roman" w:cs="Times New Roman"/>
                <w:caps/>
                <w:kern w:val="24"/>
              </w:rPr>
              <w:t xml:space="preserve"> – 5 SZT.</w:t>
            </w:r>
          </w:p>
        </w:tc>
      </w:tr>
      <w:tr w:rsidR="00BE395B" w:rsidRPr="00792328" w14:paraId="64907236" w14:textId="77777777" w:rsidTr="00BE395B">
        <w:tblPrEx>
          <w:jc w:val="center"/>
          <w:tblInd w:w="0" w:type="dxa"/>
          <w:shd w:val="clear" w:color="auto" w:fill="4F81BD"/>
        </w:tblPrEx>
        <w:trPr>
          <w:trHeight w:val="481"/>
          <w:tblHeader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33ECE" w14:textId="77777777" w:rsidR="00BE395B" w:rsidRPr="00AB5EA2" w:rsidRDefault="00BE395B" w:rsidP="00AB5EA2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09D1D2E" w14:textId="77777777" w:rsidR="00BE395B" w:rsidRPr="00792328" w:rsidRDefault="00BE395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Stabilny stojak umożliwiający łatwe przemieszczanie zestawu urządzeń medycznych</w:t>
            </w:r>
          </w:p>
        </w:tc>
      </w:tr>
      <w:tr w:rsidR="00BE395B" w:rsidRPr="00792328" w14:paraId="2917567D" w14:textId="77777777" w:rsidTr="00BE395B">
        <w:tblPrEx>
          <w:jc w:val="center"/>
          <w:tblInd w:w="0" w:type="dxa"/>
          <w:shd w:val="clear" w:color="auto" w:fill="4F81BD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710A" w14:textId="77777777" w:rsidR="00BE395B" w:rsidRPr="00AB5EA2" w:rsidRDefault="00BE395B" w:rsidP="00AB5EA2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4F43EE" w14:textId="77777777" w:rsidR="00BE395B" w:rsidRPr="00792328" w:rsidRDefault="00BE395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Podstawa jezdna z możliwością blokowania kół</w:t>
            </w:r>
          </w:p>
        </w:tc>
      </w:tr>
      <w:tr w:rsidR="00BE395B" w:rsidRPr="00792328" w14:paraId="2C7DE79D" w14:textId="77777777" w:rsidTr="00BE395B">
        <w:tblPrEx>
          <w:jc w:val="center"/>
          <w:tblInd w:w="0" w:type="dxa"/>
          <w:shd w:val="clear" w:color="auto" w:fill="4F81BD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D15F" w14:textId="77777777" w:rsidR="00BE395B" w:rsidRPr="00AB5EA2" w:rsidRDefault="00BE395B" w:rsidP="00AB5EA2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D363328" w14:textId="77777777" w:rsidR="00BE395B" w:rsidRPr="00792328" w:rsidRDefault="00BE395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Rura nośna wykonana ze stali nierdzewnej.</w:t>
            </w:r>
          </w:p>
        </w:tc>
      </w:tr>
      <w:tr w:rsidR="00BE395B" w:rsidRPr="00792328" w14:paraId="05E2DB1F" w14:textId="77777777" w:rsidTr="00BE395B">
        <w:tblPrEx>
          <w:jc w:val="center"/>
          <w:tblInd w:w="0" w:type="dxa"/>
          <w:shd w:val="clear" w:color="auto" w:fill="4F81BD"/>
        </w:tblPrEx>
        <w:trPr>
          <w:trHeight w:val="48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4EDE" w14:textId="77777777" w:rsidR="00BE395B" w:rsidRPr="00AB5EA2" w:rsidRDefault="00BE395B" w:rsidP="00AB5EA2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97D9CE0" w14:textId="77777777" w:rsidR="00BE395B" w:rsidRPr="00792328" w:rsidRDefault="00BE395B">
            <w:pPr>
              <w:spacing w:before="120" w:after="120"/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Możliwość mocowania stacji z pompami lub innych urządzeń medycznych o wadze do 35 kg </w:t>
            </w:r>
          </w:p>
        </w:tc>
      </w:tr>
      <w:tr w:rsidR="00BE395B" w:rsidRPr="00792328" w14:paraId="6D6BE95A" w14:textId="63CF04EF" w:rsidTr="00BE395B">
        <w:tblPrEx>
          <w:jc w:val="center"/>
          <w:tblInd w:w="0" w:type="dxa"/>
        </w:tblPrEx>
        <w:trPr>
          <w:trHeight w:val="646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91D8" w14:textId="5B33E6D4" w:rsidR="00BE395B" w:rsidRPr="00792328" w:rsidRDefault="00BE395B" w:rsidP="00AB5EA2">
            <w:pPr>
              <w:jc w:val="center"/>
              <w:rPr>
                <w:rFonts w:ascii="Times New Roman" w:hAnsi="Times New Roman" w:cs="Times New Roman"/>
              </w:rPr>
            </w:pPr>
            <w:r w:rsidRPr="00AB5EA2">
              <w:rPr>
                <w:rFonts w:ascii="Times New Roman" w:hAnsi="Times New Roman" w:cs="Times New Roman"/>
              </w:rPr>
              <w:t>STACJE DOKUJĄCE</w:t>
            </w:r>
            <w:r w:rsidR="00A107B8">
              <w:rPr>
                <w:rFonts w:ascii="Times New Roman" w:hAnsi="Times New Roman" w:cs="Times New Roman"/>
              </w:rPr>
              <w:t xml:space="preserve"> – 5 SZT.</w:t>
            </w:r>
          </w:p>
        </w:tc>
      </w:tr>
      <w:tr w:rsidR="00BE395B" w:rsidRPr="00792328" w14:paraId="16E96018" w14:textId="77777777" w:rsidTr="00BE395B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1263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40FF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 xml:space="preserve">Możliwość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mocowania  do 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  <w:u w:color="FF0000"/>
              </w:rPr>
              <w:t xml:space="preserve">4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pomp </w:t>
            </w:r>
            <w:r w:rsidRPr="00792328">
              <w:rPr>
                <w:rFonts w:ascii="Times New Roman" w:hAnsi="Times New Roman" w:cs="Times New Roman"/>
                <w:b w:val="0"/>
                <w:bCs w:val="0"/>
              </w:rPr>
              <w:t xml:space="preserve">infuzyjnych </w:t>
            </w:r>
          </w:p>
        </w:tc>
      </w:tr>
      <w:tr w:rsidR="00BE395B" w:rsidRPr="00792328" w14:paraId="0D4B1B93" w14:textId="77777777" w:rsidTr="00BE395B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8254E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D7BC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Obudowa stacji wykonana z tworzywa typu ABS</w:t>
            </w:r>
          </w:p>
        </w:tc>
      </w:tr>
      <w:tr w:rsidR="00BE395B" w:rsidRPr="00792328" w14:paraId="28D21D6E" w14:textId="77777777" w:rsidTr="00BE395B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D8BE7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EAEC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 xml:space="preserve">Waga stacji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odpowiednio: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  <w:u w:color="FF0000"/>
              </w:rPr>
              <w:t>do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  <w:u w:color="FF0000"/>
              </w:rPr>
              <w:t>3,8 kg</w:t>
            </w:r>
            <w:r w:rsidRPr="00792328">
              <w:rPr>
                <w:rFonts w:ascii="Times New Roman" w:hAnsi="Times New Roman" w:cs="Times New Roman"/>
                <w:b w:val="0"/>
                <w:bCs w:val="0"/>
                <w:color w:val="auto"/>
                <w:u w:color="1F497D"/>
              </w:rPr>
              <w:t xml:space="preserve"> </w:t>
            </w:r>
          </w:p>
        </w:tc>
      </w:tr>
      <w:tr w:rsidR="00BE395B" w:rsidRPr="00792328" w14:paraId="2D781348" w14:textId="77777777" w:rsidTr="00BE395B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FC4A7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7FD48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Mocowanie stacji do pionowych rur, kolumn</w:t>
            </w:r>
          </w:p>
        </w:tc>
      </w:tr>
      <w:tr w:rsidR="00BE395B" w:rsidRPr="00792328" w14:paraId="0A03F4BB" w14:textId="77777777" w:rsidTr="00BE395B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8E70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645B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Zasilanie 230 V AC 50Hz</w:t>
            </w:r>
          </w:p>
        </w:tc>
      </w:tr>
      <w:tr w:rsidR="00BE395B" w:rsidRPr="00792328" w14:paraId="191A1937" w14:textId="77777777" w:rsidTr="00BE395B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56AA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A274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System szybkiego mocowania pomp w stacji dokującej – bez konieczności demontażu elementów pompy</w:t>
            </w:r>
          </w:p>
        </w:tc>
      </w:tr>
      <w:tr w:rsidR="00BE395B" w:rsidRPr="00792328" w14:paraId="274F6629" w14:textId="77777777" w:rsidTr="00BE395B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05A2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E99A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Możliwość szybkiego wyjęcia ze stacji każdej (dowolnej) pompy</w:t>
            </w:r>
          </w:p>
        </w:tc>
      </w:tr>
      <w:tr w:rsidR="00BE395B" w:rsidRPr="00792328" w14:paraId="3A7A2A93" w14:textId="77777777" w:rsidTr="00BE395B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FB5A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77F9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Zasilanie pomp ze stacji dokującej – automatyczne przyłączenie zasilania po włożeniu pompy</w:t>
            </w:r>
          </w:p>
        </w:tc>
      </w:tr>
      <w:tr w:rsidR="00BE395B" w:rsidRPr="00792328" w14:paraId="05304812" w14:textId="77777777" w:rsidTr="00BE395B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02CC1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1E2C6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Stacja wyposażona w sygnalizację świetlną, alarmową</w:t>
            </w:r>
          </w:p>
        </w:tc>
      </w:tr>
      <w:tr w:rsidR="00BE395B" w:rsidRPr="00792328" w14:paraId="0BC14E9F" w14:textId="77777777" w:rsidTr="00BE395B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9ECD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E428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Przyłączanie stacji dokujących do systemu informatycznego szpitala za pomocą sieci Ethernet.</w:t>
            </w:r>
          </w:p>
        </w:tc>
      </w:tr>
      <w:tr w:rsidR="00BE395B" w:rsidRPr="00792328" w14:paraId="67D9F71E" w14:textId="77777777" w:rsidTr="00BE395B">
        <w:tblPrEx>
          <w:jc w:val="center"/>
          <w:tblInd w:w="0" w:type="dxa"/>
        </w:tblPrEx>
        <w:trPr>
          <w:trHeight w:val="3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E9C1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493D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Stacja posiadająca uchwyt do swobodnego przenoszenia</w:t>
            </w:r>
          </w:p>
        </w:tc>
      </w:tr>
      <w:tr w:rsidR="00BE395B" w:rsidRPr="00792328" w14:paraId="6DF0E5E0" w14:textId="77777777" w:rsidTr="00BE395B">
        <w:tblPrEx>
          <w:jc w:val="center"/>
          <w:tblInd w:w="0" w:type="dxa"/>
        </w:tblPrEx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37DB" w14:textId="77777777" w:rsidR="00BE395B" w:rsidRPr="00AB5EA2" w:rsidRDefault="00BE395B" w:rsidP="00AB5EA2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9876" w14:textId="77777777" w:rsidR="00BE395B" w:rsidRPr="00792328" w:rsidRDefault="00BE395B" w:rsidP="007F7088">
            <w:pPr>
              <w:rPr>
                <w:rFonts w:ascii="Times New Roman" w:hAnsi="Times New Roman" w:cs="Times New Roman"/>
              </w:rPr>
            </w:pPr>
            <w:r w:rsidRPr="00792328">
              <w:rPr>
                <w:rFonts w:ascii="Times New Roman" w:hAnsi="Times New Roman" w:cs="Times New Roman"/>
                <w:b w:val="0"/>
                <w:bCs w:val="0"/>
              </w:rPr>
              <w:t>Stacja wraz z wysięgnikiem do zawieszania pojemników z  płynami infuzyjnymi</w:t>
            </w:r>
          </w:p>
        </w:tc>
      </w:tr>
    </w:tbl>
    <w:p w14:paraId="4DAFB756" w14:textId="77777777" w:rsidR="00792328" w:rsidRPr="00792328" w:rsidRDefault="00792328" w:rsidP="00792328">
      <w:pPr>
        <w:widowControl w:val="0"/>
        <w:ind w:left="70" w:hanging="7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6FC8EB0" w14:textId="77777777" w:rsidR="00792328" w:rsidRPr="00792328" w:rsidRDefault="00792328">
      <w:pPr>
        <w:rPr>
          <w:rFonts w:ascii="Times New Roman" w:hAnsi="Times New Roman" w:cs="Times New Roman"/>
        </w:rPr>
      </w:pPr>
    </w:p>
    <w:sectPr w:rsidR="00792328" w:rsidRPr="00792328">
      <w:pgSz w:w="11900" w:h="16840"/>
      <w:pgMar w:top="907" w:right="851" w:bottom="90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B34DA" w14:textId="77777777" w:rsidR="008842B9" w:rsidRDefault="008842B9">
      <w:r>
        <w:separator/>
      </w:r>
    </w:p>
  </w:endnote>
  <w:endnote w:type="continuationSeparator" w:id="0">
    <w:p w14:paraId="4CEEFE2D" w14:textId="77777777" w:rsidR="008842B9" w:rsidRDefault="00884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21ECF" w14:textId="77777777" w:rsidR="008842B9" w:rsidRDefault="008842B9">
      <w:r>
        <w:separator/>
      </w:r>
    </w:p>
  </w:footnote>
  <w:footnote w:type="continuationSeparator" w:id="0">
    <w:p w14:paraId="161D6623" w14:textId="77777777" w:rsidR="008842B9" w:rsidRDefault="00884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C6AA0"/>
    <w:multiLevelType w:val="hybridMultilevel"/>
    <w:tmpl w:val="C4E8916A"/>
    <w:lvl w:ilvl="0" w:tplc="3AFA0C1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B2BE8"/>
    <w:multiLevelType w:val="hybridMultilevel"/>
    <w:tmpl w:val="1D6896C2"/>
    <w:lvl w:ilvl="0" w:tplc="F55677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A4F456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681804">
      <w:start w:val="1"/>
      <w:numFmt w:val="bullet"/>
      <w:lvlText w:val="▪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8EB9DA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C1CE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58A70A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5EC55C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9EB4C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AEE9B8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D8F5649"/>
    <w:multiLevelType w:val="hybridMultilevel"/>
    <w:tmpl w:val="DFC08E3A"/>
    <w:lvl w:ilvl="0" w:tplc="AF38A224">
      <w:start w:val="1"/>
      <w:numFmt w:val="bullet"/>
      <w:lvlText w:val="▪"/>
      <w:lvlJc w:val="left"/>
      <w:pPr>
        <w:ind w:left="38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803D2">
      <w:start w:val="1"/>
      <w:numFmt w:val="bullet"/>
      <w:lvlText w:val="o"/>
      <w:lvlJc w:val="left"/>
      <w:pPr>
        <w:ind w:left="1103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5C4762">
      <w:start w:val="1"/>
      <w:numFmt w:val="bullet"/>
      <w:lvlText w:val="▪"/>
      <w:lvlJc w:val="left"/>
      <w:pPr>
        <w:ind w:left="182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8C4CC6">
      <w:start w:val="1"/>
      <w:numFmt w:val="bullet"/>
      <w:lvlText w:val="•"/>
      <w:lvlJc w:val="left"/>
      <w:pPr>
        <w:ind w:left="254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0C5B0C">
      <w:start w:val="1"/>
      <w:numFmt w:val="bullet"/>
      <w:lvlText w:val="o"/>
      <w:lvlJc w:val="left"/>
      <w:pPr>
        <w:ind w:left="3263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BE694C">
      <w:start w:val="1"/>
      <w:numFmt w:val="bullet"/>
      <w:lvlText w:val="▪"/>
      <w:lvlJc w:val="left"/>
      <w:pPr>
        <w:ind w:left="398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54E1A0">
      <w:start w:val="1"/>
      <w:numFmt w:val="bullet"/>
      <w:lvlText w:val="•"/>
      <w:lvlJc w:val="left"/>
      <w:pPr>
        <w:ind w:left="470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94B71E">
      <w:start w:val="1"/>
      <w:numFmt w:val="bullet"/>
      <w:lvlText w:val="o"/>
      <w:lvlJc w:val="left"/>
      <w:pPr>
        <w:ind w:left="5423" w:hanging="28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144064">
      <w:start w:val="1"/>
      <w:numFmt w:val="bullet"/>
      <w:lvlText w:val="▪"/>
      <w:lvlJc w:val="left"/>
      <w:pPr>
        <w:ind w:left="614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3153AA4"/>
    <w:multiLevelType w:val="hybridMultilevel"/>
    <w:tmpl w:val="7B12057A"/>
    <w:lvl w:ilvl="0" w:tplc="51385852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DC57BC4"/>
    <w:multiLevelType w:val="hybridMultilevel"/>
    <w:tmpl w:val="A37C7B80"/>
    <w:lvl w:ilvl="0" w:tplc="5BDA1E8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D2280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82103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A811FA">
      <w:start w:val="1"/>
      <w:numFmt w:val="bullet"/>
      <w:lvlText w:val="·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B6CE2A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F82368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5CAB2E">
      <w:start w:val="1"/>
      <w:numFmt w:val="bullet"/>
      <w:lvlText w:val="·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86F83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F86F24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609765F"/>
    <w:multiLevelType w:val="hybridMultilevel"/>
    <w:tmpl w:val="EA845930"/>
    <w:lvl w:ilvl="0" w:tplc="0B6EFA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2B67C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16BBF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CEC0A0">
      <w:start w:val="1"/>
      <w:numFmt w:val="bullet"/>
      <w:lvlText w:val="·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EAA7EA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4C4B80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C1A54">
      <w:start w:val="1"/>
      <w:numFmt w:val="bullet"/>
      <w:lvlText w:val="·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066ECE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44E06C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AF26B6C"/>
    <w:multiLevelType w:val="hybridMultilevel"/>
    <w:tmpl w:val="EE88886A"/>
    <w:lvl w:ilvl="0" w:tplc="C74071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6D4504"/>
    <w:multiLevelType w:val="hybridMultilevel"/>
    <w:tmpl w:val="CE80854A"/>
    <w:lvl w:ilvl="0" w:tplc="026A09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F4F71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4EE08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8ADE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0E406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6EF2D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ECA04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DA054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E2CCD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DC8432B"/>
    <w:multiLevelType w:val="hybridMultilevel"/>
    <w:tmpl w:val="F9FCF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47FD7"/>
    <w:multiLevelType w:val="hybridMultilevel"/>
    <w:tmpl w:val="3F7C079A"/>
    <w:lvl w:ilvl="0" w:tplc="E0E8DCC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BAC89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E6334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D6AA2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82FB8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0EC596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FEC24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1C173C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64B300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22007088">
    <w:abstractNumId w:val="2"/>
  </w:num>
  <w:num w:numId="2" w16cid:durableId="531767668">
    <w:abstractNumId w:val="2"/>
    <w:lvlOverride w:ilvl="0">
      <w:lvl w:ilvl="0" w:tplc="AF38A224">
        <w:start w:val="1"/>
        <w:numFmt w:val="bullet"/>
        <w:lvlText w:val="▪"/>
        <w:lvlJc w:val="left"/>
        <w:pPr>
          <w:ind w:left="38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F803D2">
        <w:start w:val="1"/>
        <w:numFmt w:val="bullet"/>
        <w:lvlText w:val="o"/>
        <w:lvlJc w:val="left"/>
        <w:pPr>
          <w:ind w:left="1100" w:hanging="284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C5C4762">
        <w:start w:val="1"/>
        <w:numFmt w:val="bullet"/>
        <w:lvlText w:val="▪"/>
        <w:lvlJc w:val="left"/>
        <w:pPr>
          <w:ind w:left="182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8C4CC6">
        <w:start w:val="1"/>
        <w:numFmt w:val="bullet"/>
        <w:lvlText w:val="•"/>
        <w:lvlJc w:val="left"/>
        <w:pPr>
          <w:ind w:left="254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D0C5B0C">
        <w:start w:val="1"/>
        <w:numFmt w:val="bullet"/>
        <w:lvlText w:val="o"/>
        <w:lvlJc w:val="left"/>
        <w:pPr>
          <w:ind w:left="3260" w:hanging="284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DBE694C">
        <w:start w:val="1"/>
        <w:numFmt w:val="bullet"/>
        <w:lvlText w:val="▪"/>
        <w:lvlJc w:val="left"/>
        <w:pPr>
          <w:ind w:left="398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154E1A0">
        <w:start w:val="1"/>
        <w:numFmt w:val="bullet"/>
        <w:lvlText w:val="•"/>
        <w:lvlJc w:val="left"/>
        <w:pPr>
          <w:ind w:left="470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94B71E">
        <w:start w:val="1"/>
        <w:numFmt w:val="bullet"/>
        <w:lvlText w:val="o"/>
        <w:lvlJc w:val="left"/>
        <w:pPr>
          <w:ind w:left="5420" w:hanging="284"/>
        </w:pPr>
        <w:rPr>
          <w:rFonts w:ascii="Wingdings" w:eastAsia="Wingdings" w:hAnsi="Wingdings" w:cs="Wingding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2144064">
        <w:start w:val="1"/>
        <w:numFmt w:val="bullet"/>
        <w:lvlText w:val="▪"/>
        <w:lvlJc w:val="left"/>
        <w:pPr>
          <w:ind w:left="6140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822234924">
    <w:abstractNumId w:val="9"/>
  </w:num>
  <w:num w:numId="4" w16cid:durableId="1495025832">
    <w:abstractNumId w:val="4"/>
  </w:num>
  <w:num w:numId="5" w16cid:durableId="2013410488">
    <w:abstractNumId w:val="1"/>
  </w:num>
  <w:num w:numId="6" w16cid:durableId="1344474747">
    <w:abstractNumId w:val="7"/>
  </w:num>
  <w:num w:numId="7" w16cid:durableId="858081229">
    <w:abstractNumId w:val="5"/>
  </w:num>
  <w:num w:numId="8" w16cid:durableId="2146316504">
    <w:abstractNumId w:val="6"/>
  </w:num>
  <w:num w:numId="9" w16cid:durableId="1129086569">
    <w:abstractNumId w:val="8"/>
  </w:num>
  <w:num w:numId="10" w16cid:durableId="1176963469">
    <w:abstractNumId w:val="0"/>
  </w:num>
  <w:num w:numId="11" w16cid:durableId="9263773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1C5"/>
    <w:rsid w:val="000C6A87"/>
    <w:rsid w:val="004963FA"/>
    <w:rsid w:val="004F6249"/>
    <w:rsid w:val="005C1828"/>
    <w:rsid w:val="005E31C5"/>
    <w:rsid w:val="00792328"/>
    <w:rsid w:val="00797D46"/>
    <w:rsid w:val="008842B9"/>
    <w:rsid w:val="009633D9"/>
    <w:rsid w:val="00974A43"/>
    <w:rsid w:val="009E1CE5"/>
    <w:rsid w:val="00A107B8"/>
    <w:rsid w:val="00AB5EA2"/>
    <w:rsid w:val="00B76198"/>
    <w:rsid w:val="00BE395B"/>
    <w:rsid w:val="00D72672"/>
    <w:rsid w:val="00F44589"/>
    <w:rsid w:val="00F779B0"/>
    <w:rsid w:val="00F9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C96F"/>
  <w15:docId w15:val="{AEA99A9B-C38F-46D3-B903-58EA8D61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 Unicode MS"/>
      <w:b/>
      <w:bCs/>
      <w:color w:val="000000"/>
      <w:kern w:val="1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797D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D46"/>
    <w:rPr>
      <w:rFonts w:ascii="Arial" w:hAnsi="Arial" w:cs="Arial Unicode MS"/>
      <w:b/>
      <w:bCs/>
      <w:color w:val="000000"/>
      <w:kern w:val="1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97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D46"/>
    <w:rPr>
      <w:rFonts w:ascii="Arial" w:hAnsi="Arial" w:cs="Arial Unicode MS"/>
      <w:b/>
      <w:bCs/>
      <w:color w:val="000000"/>
      <w:kern w:val="1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AB5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jmazur</dc:creator>
  <cp:lastModifiedBy>Wioletta Krzyżanowska</cp:lastModifiedBy>
  <cp:revision>4</cp:revision>
  <dcterms:created xsi:type="dcterms:W3CDTF">2024-02-27T07:42:00Z</dcterms:created>
  <dcterms:modified xsi:type="dcterms:W3CDTF">2024-02-27T07:49:00Z</dcterms:modified>
</cp:coreProperties>
</file>